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10E" w:rsidRDefault="00AB410E">
      <w:r>
        <w:t>AP Chemistry – Equation Balancing</w:t>
      </w:r>
    </w:p>
    <w:p w:rsidR="00AB410E" w:rsidRDefault="00AB410E"/>
    <w:p w:rsidR="00AB410E" w:rsidRDefault="00AB410E"/>
    <w:tbl>
      <w:tblPr>
        <w:tblStyle w:val="TableGrid"/>
        <w:tblW w:w="0" w:type="auto"/>
        <w:tblLook w:val="04A0"/>
      </w:tblPr>
      <w:tblGrid>
        <w:gridCol w:w="1998"/>
        <w:gridCol w:w="10980"/>
      </w:tblGrid>
      <w:tr w:rsidR="00074447" w:rsidTr="00C76EE4">
        <w:tc>
          <w:tcPr>
            <w:tcW w:w="1998" w:type="dxa"/>
          </w:tcPr>
          <w:p w:rsidR="00074447" w:rsidRPr="00C76EE4" w:rsidRDefault="00074447">
            <w:pPr>
              <w:rPr>
                <w:b/>
              </w:rPr>
            </w:pPr>
            <w:r w:rsidRPr="00C76EE4">
              <w:rPr>
                <w:b/>
              </w:rPr>
              <w:t>Focus and Review</w:t>
            </w:r>
          </w:p>
          <w:p w:rsidR="00074447" w:rsidRPr="00C76EE4" w:rsidRDefault="00074447">
            <w:pPr>
              <w:rPr>
                <w:b/>
              </w:rPr>
            </w:pPr>
          </w:p>
          <w:p w:rsidR="00C76EE4" w:rsidRPr="00C76EE4" w:rsidRDefault="00C76EE4">
            <w:pPr>
              <w:rPr>
                <w:b/>
              </w:rPr>
            </w:pPr>
          </w:p>
        </w:tc>
        <w:tc>
          <w:tcPr>
            <w:tcW w:w="10980" w:type="dxa"/>
          </w:tcPr>
          <w:p w:rsidR="00074447" w:rsidRDefault="00AB410E">
            <w:r>
              <w:t>Students will review solubility rules and predict solubility of several compounds.</w:t>
            </w:r>
          </w:p>
          <w:p w:rsidR="00AB410E" w:rsidRDefault="00AB410E"/>
          <w:p w:rsidR="00AB410E" w:rsidRDefault="00AB410E">
            <w:r>
              <w:t>State whether the following compounds are soluble or insoluble:</w:t>
            </w:r>
          </w:p>
          <w:p w:rsidR="00AB410E" w:rsidRDefault="00AB410E" w:rsidP="00AB410E">
            <w:pPr>
              <w:pStyle w:val="ListParagraph"/>
              <w:numPr>
                <w:ilvl w:val="0"/>
                <w:numId w:val="1"/>
              </w:numPr>
            </w:pPr>
            <w:r>
              <w:t>NaBr</w:t>
            </w:r>
          </w:p>
          <w:p w:rsidR="00AB410E" w:rsidRDefault="00AB410E" w:rsidP="00AB410E">
            <w:pPr>
              <w:pStyle w:val="ListParagraph"/>
              <w:numPr>
                <w:ilvl w:val="0"/>
                <w:numId w:val="1"/>
              </w:numPr>
            </w:pPr>
            <w:r>
              <w:t>AgCl</w:t>
            </w:r>
          </w:p>
          <w:p w:rsidR="00AB410E" w:rsidRDefault="00AB410E" w:rsidP="00AB410E">
            <w:pPr>
              <w:pStyle w:val="ListParagraph"/>
              <w:numPr>
                <w:ilvl w:val="0"/>
                <w:numId w:val="1"/>
              </w:numPr>
            </w:pPr>
            <w:r>
              <w:t>MgSO</w:t>
            </w:r>
            <w:r w:rsidRPr="00AB410E">
              <w:rPr>
                <w:vertAlign w:val="subscript"/>
              </w:rPr>
              <w:t>4</w:t>
            </w:r>
          </w:p>
          <w:p w:rsidR="00AB410E" w:rsidRDefault="00AB410E" w:rsidP="00AB410E">
            <w:pPr>
              <w:pStyle w:val="ListParagraph"/>
              <w:numPr>
                <w:ilvl w:val="0"/>
                <w:numId w:val="1"/>
              </w:numPr>
            </w:pPr>
            <w:r>
              <w:t>FeSO</w:t>
            </w:r>
            <w:r w:rsidRPr="00AB410E">
              <w:rPr>
                <w:vertAlign w:val="subscript"/>
              </w:rPr>
              <w:t>4</w:t>
            </w:r>
          </w:p>
          <w:p w:rsidR="00AB410E" w:rsidRDefault="00AB410E" w:rsidP="00AB410E">
            <w:pPr>
              <w:pStyle w:val="ListParagraph"/>
              <w:numPr>
                <w:ilvl w:val="0"/>
                <w:numId w:val="1"/>
              </w:numPr>
            </w:pPr>
            <w:r>
              <w:t>Ca(NO</w:t>
            </w:r>
            <w:r w:rsidRPr="00AB410E">
              <w:rPr>
                <w:vertAlign w:val="subscript"/>
              </w:rPr>
              <w:t>3</w:t>
            </w:r>
            <w:r>
              <w:t>)</w:t>
            </w:r>
            <w:r w:rsidRPr="00AB410E">
              <w:rPr>
                <w:vertAlign w:val="subscript"/>
              </w:rPr>
              <w:t>2</w:t>
            </w:r>
          </w:p>
          <w:p w:rsidR="00AB410E" w:rsidRDefault="00AB410E" w:rsidP="00AB410E">
            <w:pPr>
              <w:pStyle w:val="ListParagraph"/>
              <w:numPr>
                <w:ilvl w:val="0"/>
                <w:numId w:val="1"/>
              </w:numPr>
            </w:pPr>
            <w:r>
              <w:t>CaCO</w:t>
            </w:r>
            <w:r w:rsidRPr="00AB410E">
              <w:rPr>
                <w:vertAlign w:val="subscript"/>
              </w:rPr>
              <w:t>3</w:t>
            </w:r>
          </w:p>
        </w:tc>
      </w:tr>
      <w:tr w:rsidR="00074447" w:rsidTr="00C76EE4">
        <w:tc>
          <w:tcPr>
            <w:tcW w:w="1998" w:type="dxa"/>
          </w:tcPr>
          <w:p w:rsidR="00074447" w:rsidRPr="00C76EE4" w:rsidRDefault="00074447">
            <w:pPr>
              <w:rPr>
                <w:b/>
              </w:rPr>
            </w:pPr>
            <w:r w:rsidRPr="00C76EE4">
              <w:rPr>
                <w:b/>
              </w:rPr>
              <w:t>Objective/Goal</w:t>
            </w:r>
          </w:p>
          <w:p w:rsidR="00074447" w:rsidRPr="00C76EE4" w:rsidRDefault="00074447">
            <w:pPr>
              <w:rPr>
                <w:b/>
              </w:rPr>
            </w:pPr>
          </w:p>
          <w:p w:rsidR="00C76EE4" w:rsidRPr="00C76EE4" w:rsidRDefault="00C76EE4">
            <w:pPr>
              <w:rPr>
                <w:b/>
              </w:rPr>
            </w:pPr>
          </w:p>
        </w:tc>
        <w:tc>
          <w:tcPr>
            <w:tcW w:w="10980" w:type="dxa"/>
          </w:tcPr>
          <w:p w:rsidR="00074447" w:rsidRDefault="008B2C77">
            <w:r>
              <w:t>4.01 Analyze the various types of common chemical reactions</w:t>
            </w:r>
          </w:p>
          <w:p w:rsidR="008B2C77" w:rsidRDefault="008B2C77">
            <w:r>
              <w:t>Precipitation Reactions</w:t>
            </w:r>
          </w:p>
        </w:tc>
      </w:tr>
      <w:tr w:rsidR="00074447" w:rsidTr="00C76EE4">
        <w:tc>
          <w:tcPr>
            <w:tcW w:w="1998" w:type="dxa"/>
          </w:tcPr>
          <w:p w:rsidR="00074447" w:rsidRPr="00C76EE4" w:rsidRDefault="00074447">
            <w:pPr>
              <w:rPr>
                <w:b/>
              </w:rPr>
            </w:pPr>
            <w:r w:rsidRPr="00C76EE4">
              <w:rPr>
                <w:b/>
              </w:rPr>
              <w:t>Instructional Presentation</w:t>
            </w:r>
          </w:p>
          <w:p w:rsidR="00C76EE4" w:rsidRPr="00C76EE4" w:rsidRDefault="00C76EE4">
            <w:pPr>
              <w:rPr>
                <w:b/>
              </w:rPr>
            </w:pPr>
          </w:p>
        </w:tc>
        <w:tc>
          <w:tcPr>
            <w:tcW w:w="10980" w:type="dxa"/>
          </w:tcPr>
          <w:p w:rsidR="00074447" w:rsidRDefault="008B2C77">
            <w:r>
              <w:t>Students are presented with what solubility rules are and predict reactions.</w:t>
            </w:r>
          </w:p>
          <w:p w:rsidR="008B2C77" w:rsidRDefault="008B2C77"/>
          <w:p w:rsidR="008B2C77" w:rsidRDefault="008B2C77">
            <w:r>
              <w:t>Before we even go to the lab, students will be presented with the list of reactions they will investigate. They make predictions ahead of time. In the interaction, they will be checking their predictions.</w:t>
            </w:r>
          </w:p>
          <w:p w:rsidR="008B2C77" w:rsidRDefault="008B2C77"/>
          <w:p w:rsidR="008B2C77" w:rsidRDefault="008B2C77">
            <w:r>
              <w:t>We go to the computer lab (my AP students do not have laptops) to access the website</w:t>
            </w:r>
          </w:p>
          <w:p w:rsidR="008B2C77" w:rsidRDefault="008B2C77"/>
          <w:p w:rsidR="008B2C77" w:rsidRDefault="008B2C77">
            <w:hyperlink r:id="rId5" w:history="1">
              <w:r w:rsidRPr="002C1051">
                <w:rPr>
                  <w:rStyle w:val="Hyperlink"/>
                </w:rPr>
                <w:t>http://www.sascurriculumpathways.com/ProductEntrance/Navigation/navigator.jsp?node=54</w:t>
              </w:r>
            </w:hyperlink>
          </w:p>
          <w:p w:rsidR="008B2C77" w:rsidRDefault="008B2C77"/>
          <w:p w:rsidR="008B2C77" w:rsidRDefault="008B2C77">
            <w:r>
              <w:t>Click on the InterActivity.</w:t>
            </w:r>
          </w:p>
        </w:tc>
      </w:tr>
      <w:tr w:rsidR="00074447" w:rsidTr="00C76EE4">
        <w:tc>
          <w:tcPr>
            <w:tcW w:w="1998" w:type="dxa"/>
          </w:tcPr>
          <w:p w:rsidR="00074447" w:rsidRPr="00C76EE4" w:rsidRDefault="00074447">
            <w:pPr>
              <w:rPr>
                <w:b/>
              </w:rPr>
            </w:pPr>
            <w:r w:rsidRPr="00C76EE4">
              <w:rPr>
                <w:b/>
              </w:rPr>
              <w:t>Guided Practice</w:t>
            </w:r>
          </w:p>
          <w:p w:rsidR="00C76EE4" w:rsidRPr="00C76EE4" w:rsidRDefault="00C76EE4">
            <w:pPr>
              <w:rPr>
                <w:b/>
              </w:rPr>
            </w:pPr>
          </w:p>
          <w:p w:rsidR="00C76EE4" w:rsidRPr="00C76EE4" w:rsidRDefault="00C76EE4">
            <w:pPr>
              <w:rPr>
                <w:b/>
              </w:rPr>
            </w:pPr>
          </w:p>
        </w:tc>
        <w:tc>
          <w:tcPr>
            <w:tcW w:w="10980" w:type="dxa"/>
          </w:tcPr>
          <w:p w:rsidR="00074447" w:rsidRDefault="008B2C77">
            <w:r>
              <w:t>We go over the first two examples together to make sure students know how to manipulate the software, balance it, etc.</w:t>
            </w:r>
            <w:r w:rsidR="00FD4636">
              <w:t xml:space="preserve"> They view a video that shows a real-world example of the reaction they’ve set up. This allows them to see reactions of more dangerous chemicals (strong oxidizers like AgNO</w:t>
            </w:r>
            <w:r w:rsidR="00FD4636" w:rsidRPr="00FD4636">
              <w:rPr>
                <w:vertAlign w:val="subscript"/>
              </w:rPr>
              <w:t>3</w:t>
            </w:r>
            <w:r w:rsidR="00FD4636">
              <w:t>).</w:t>
            </w:r>
          </w:p>
        </w:tc>
      </w:tr>
      <w:tr w:rsidR="00074447" w:rsidTr="00C76EE4">
        <w:tc>
          <w:tcPr>
            <w:tcW w:w="1998" w:type="dxa"/>
          </w:tcPr>
          <w:p w:rsidR="00074447" w:rsidRPr="00C76EE4" w:rsidRDefault="00074447">
            <w:pPr>
              <w:rPr>
                <w:b/>
              </w:rPr>
            </w:pPr>
            <w:r w:rsidRPr="00C76EE4">
              <w:rPr>
                <w:b/>
              </w:rPr>
              <w:t>Independent Practice</w:t>
            </w:r>
          </w:p>
          <w:p w:rsidR="00074447" w:rsidRPr="00C76EE4" w:rsidRDefault="00074447">
            <w:pPr>
              <w:rPr>
                <w:b/>
              </w:rPr>
            </w:pPr>
          </w:p>
        </w:tc>
        <w:tc>
          <w:tcPr>
            <w:tcW w:w="10980" w:type="dxa"/>
          </w:tcPr>
          <w:p w:rsidR="00074447" w:rsidRDefault="00FD4636">
            <w:r>
              <w:t>Students complete the activity on their own, carrying out each experiment, writing down the results and reporting what they find.</w:t>
            </w:r>
          </w:p>
        </w:tc>
      </w:tr>
      <w:tr w:rsidR="00074447" w:rsidTr="00C76EE4">
        <w:tc>
          <w:tcPr>
            <w:tcW w:w="1998" w:type="dxa"/>
          </w:tcPr>
          <w:p w:rsidR="00074447" w:rsidRPr="00C76EE4" w:rsidRDefault="00074447">
            <w:pPr>
              <w:rPr>
                <w:b/>
              </w:rPr>
            </w:pPr>
            <w:r w:rsidRPr="00C76EE4">
              <w:rPr>
                <w:b/>
              </w:rPr>
              <w:lastRenderedPageBreak/>
              <w:t>Closure/Reflection</w:t>
            </w:r>
          </w:p>
          <w:p w:rsidR="00C76EE4" w:rsidRPr="00C76EE4" w:rsidRDefault="00C76EE4">
            <w:pPr>
              <w:rPr>
                <w:b/>
              </w:rPr>
            </w:pPr>
          </w:p>
          <w:p w:rsidR="00C76EE4" w:rsidRPr="00C76EE4" w:rsidRDefault="00C76EE4">
            <w:pPr>
              <w:rPr>
                <w:b/>
              </w:rPr>
            </w:pPr>
          </w:p>
        </w:tc>
        <w:tc>
          <w:tcPr>
            <w:tcW w:w="10980" w:type="dxa"/>
          </w:tcPr>
          <w:p w:rsidR="00074447" w:rsidRDefault="00FD4636">
            <w:r>
              <w:t>Students will see patterns from balancing reactions and predicting soluble products.</w:t>
            </w:r>
          </w:p>
          <w:p w:rsidR="00FD4636" w:rsidRDefault="00FD4636"/>
          <w:p w:rsidR="00FD4636" w:rsidRDefault="00FD4636">
            <w:r>
              <w:t>Students can go back and generalize solubility rules simply from what we’ve seen</w:t>
            </w:r>
            <w:r w:rsidR="00CA4148">
              <w:t xml:space="preserve"> demonstrated.</w:t>
            </w:r>
          </w:p>
        </w:tc>
      </w:tr>
    </w:tbl>
    <w:p w:rsidR="000D1294" w:rsidRDefault="000D1294"/>
    <w:sectPr w:rsidR="000D1294" w:rsidSect="00C76EE4">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3726A"/>
    <w:multiLevelType w:val="hybridMultilevel"/>
    <w:tmpl w:val="0C4AB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rsids>
    <w:rsidRoot w:val="00074447"/>
    <w:rsid w:val="00074447"/>
    <w:rsid w:val="000D1294"/>
    <w:rsid w:val="008B2C77"/>
    <w:rsid w:val="00AB410E"/>
    <w:rsid w:val="00C76EE4"/>
    <w:rsid w:val="00CA4148"/>
    <w:rsid w:val="00F842FD"/>
    <w:rsid w:val="00FD46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2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44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410E"/>
    <w:pPr>
      <w:ind w:left="720"/>
      <w:contextualSpacing/>
    </w:pPr>
  </w:style>
  <w:style w:type="character" w:styleId="Hyperlink">
    <w:name w:val="Hyperlink"/>
    <w:basedOn w:val="DefaultParagraphFont"/>
    <w:uiPriority w:val="99"/>
    <w:unhideWhenUsed/>
    <w:rsid w:val="008B2C7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scurriculumpathways.com/ProductEntrance/Navigation/navigator.jsp?node=5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swestbrook</dc:creator>
  <cp:keywords/>
  <dc:description/>
  <cp:lastModifiedBy>Nicholas Hendley</cp:lastModifiedBy>
  <cp:revision>3</cp:revision>
  <dcterms:created xsi:type="dcterms:W3CDTF">2011-03-30T19:05:00Z</dcterms:created>
  <dcterms:modified xsi:type="dcterms:W3CDTF">2011-03-30T19:23:00Z</dcterms:modified>
</cp:coreProperties>
</file>